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20A" w:rsidRPr="007E120A" w:rsidRDefault="007E120A" w:rsidP="007E120A">
      <w:pPr>
        <w:spacing w:after="0" w:line="240" w:lineRule="auto"/>
        <w:jc w:val="both"/>
        <w:rPr>
          <w:rFonts w:ascii="Arial Narrow" w:eastAsia="Times New Roman" w:hAnsi="Arial Narrow" w:cs="Times New Roman"/>
          <w:b/>
          <w:bCs/>
          <w:lang w:eastAsia="es-ES"/>
        </w:rPr>
      </w:pPr>
      <w:r w:rsidRPr="007E120A">
        <w:rPr>
          <w:rFonts w:ascii="Arial Narrow" w:eastAsia="Times New Roman" w:hAnsi="Arial Narrow" w:cs="Times New Roman"/>
          <w:b/>
          <w:bCs/>
          <w:lang w:eastAsia="es-ES"/>
        </w:rPr>
        <w:t>LEY DE OBRAS PÚBLICAS Y SERVICIOS RELACIONADOS CON LAS MISMAS PARA EL ESTADO DE COAHUILA DE ZARAGOZA</w:t>
      </w:r>
    </w:p>
    <w:p w:rsidR="007E120A" w:rsidRDefault="007E120A" w:rsidP="007968A7">
      <w:pPr>
        <w:spacing w:after="0" w:line="240" w:lineRule="auto"/>
        <w:jc w:val="both"/>
        <w:rPr>
          <w:rFonts w:ascii="Arial Narrow" w:eastAsia="Times New Roman" w:hAnsi="Arial Narrow" w:cs="Courier New"/>
          <w:b/>
          <w:lang w:eastAsia="es-ES"/>
        </w:rPr>
      </w:pPr>
    </w:p>
    <w:p w:rsidR="00055A66" w:rsidRPr="00055A66" w:rsidRDefault="00055A66" w:rsidP="00055A66">
      <w:pPr>
        <w:spacing w:after="0" w:line="240" w:lineRule="auto"/>
        <w:jc w:val="both"/>
        <w:rPr>
          <w:rFonts w:ascii="Arial Narrow" w:eastAsia="Times New Roman" w:hAnsi="Arial Narrow" w:cs="Arial"/>
          <w:lang w:eastAsia="es-ES"/>
        </w:rPr>
      </w:pPr>
      <w:r w:rsidRPr="00055A66">
        <w:rPr>
          <w:rFonts w:ascii="Arial Narrow" w:eastAsia="Times New Roman" w:hAnsi="Arial Narrow" w:cs="Arial"/>
          <w:b/>
          <w:lang w:eastAsia="es-ES"/>
        </w:rPr>
        <w:t>Artículo 41.-</w:t>
      </w:r>
      <w:r w:rsidRPr="00055A66">
        <w:rPr>
          <w:rFonts w:ascii="Arial Narrow" w:eastAsia="Times New Roman" w:hAnsi="Arial Narrow" w:cs="Arial"/>
          <w:lang w:eastAsia="es-ES"/>
        </w:rPr>
        <w:t xml:space="preserve"> Las dependencias y entidades, bajo su responsabilidad, podrán contratar obras públicas o servicios relacionados con las mismas, sin sujetarse al procedimiento de licitación pública, a través de los </w:t>
      </w:r>
      <w:r w:rsidRPr="0060626A">
        <w:rPr>
          <w:rFonts w:ascii="Arial Narrow" w:eastAsia="Times New Roman" w:hAnsi="Arial Narrow" w:cs="Arial"/>
          <w:b/>
          <w:i/>
          <w:u w:val="single"/>
          <w:lang w:eastAsia="es-ES"/>
        </w:rPr>
        <w:t>procedimientos de invitación a cuando menos tres personas</w:t>
      </w:r>
      <w:r w:rsidRPr="00055A66">
        <w:rPr>
          <w:rFonts w:ascii="Arial Narrow" w:eastAsia="Times New Roman" w:hAnsi="Arial Narrow" w:cs="Arial"/>
          <w:lang w:eastAsia="es-ES"/>
        </w:rPr>
        <w:t xml:space="preserve"> o de adjudicación directa, cuando: </w:t>
      </w:r>
    </w:p>
    <w:p w:rsidR="00055A66" w:rsidRPr="00055A66" w:rsidRDefault="00055A66" w:rsidP="00055A66">
      <w:pPr>
        <w:spacing w:after="0" w:line="240" w:lineRule="auto"/>
        <w:jc w:val="both"/>
        <w:rPr>
          <w:rFonts w:ascii="Arial Narrow" w:eastAsia="Times New Roman" w:hAnsi="Arial Narrow" w:cs="Times New Roman"/>
          <w:bCs/>
          <w:i/>
          <w:sz w:val="12"/>
          <w:szCs w:val="14"/>
          <w:lang w:eastAsia="es-ES"/>
        </w:rPr>
      </w:pPr>
    </w:p>
    <w:p w:rsidR="00055A66" w:rsidRPr="00055A66" w:rsidRDefault="00055A66" w:rsidP="00055A66">
      <w:pPr>
        <w:spacing w:after="0" w:line="240" w:lineRule="auto"/>
        <w:jc w:val="both"/>
        <w:rPr>
          <w:rFonts w:ascii="Arial Narrow" w:eastAsia="Times New Roman" w:hAnsi="Arial Narrow" w:cs="Times New Roman"/>
          <w:bCs/>
          <w:i/>
          <w:sz w:val="12"/>
          <w:szCs w:val="14"/>
          <w:lang w:eastAsia="es-ES"/>
        </w:rPr>
      </w:pPr>
    </w:p>
    <w:p w:rsidR="00055A66" w:rsidRPr="00055A66" w:rsidRDefault="00B9341E" w:rsidP="00055A66">
      <w:pPr>
        <w:spacing w:after="0" w:line="240" w:lineRule="auto"/>
        <w:jc w:val="both"/>
        <w:rPr>
          <w:rFonts w:ascii="Arial Narrow" w:eastAsia="Times New Roman" w:hAnsi="Arial Narrow" w:cs="Times New Roman"/>
          <w:b/>
          <w:bCs/>
          <w:i/>
          <w:color w:val="FF0000"/>
          <w:sz w:val="12"/>
          <w:szCs w:val="14"/>
          <w:lang w:eastAsia="es-ES"/>
        </w:rPr>
      </w:pPr>
      <w:r w:rsidRPr="00055A66">
        <w:rPr>
          <w:rFonts w:ascii="Arial Narrow" w:eastAsia="Times New Roman" w:hAnsi="Arial Narrow" w:cs="Times New Roman"/>
          <w:b/>
          <w:bCs/>
          <w:i/>
          <w:color w:val="FF0000"/>
          <w:sz w:val="12"/>
          <w:szCs w:val="14"/>
          <w:lang w:eastAsia="es-ES"/>
        </w:rPr>
        <w:t xml:space="preserve"> </w:t>
      </w:r>
      <w:r w:rsidR="00055A66" w:rsidRPr="00055A66">
        <w:rPr>
          <w:rFonts w:ascii="Arial Narrow" w:eastAsia="Times New Roman" w:hAnsi="Arial Narrow" w:cs="Times New Roman"/>
          <w:b/>
          <w:bCs/>
          <w:i/>
          <w:color w:val="FF0000"/>
          <w:sz w:val="12"/>
          <w:szCs w:val="14"/>
          <w:lang w:eastAsia="es-ES"/>
        </w:rPr>
        <w:t>(REFORMADO PRIMER PÁRRAFO, P.O. 6 DE JULIO DE 2012)</w:t>
      </w:r>
    </w:p>
    <w:p w:rsidR="00055A66" w:rsidRPr="00055A66" w:rsidRDefault="00055A66" w:rsidP="00055A66">
      <w:pPr>
        <w:spacing w:after="0" w:line="240" w:lineRule="auto"/>
        <w:jc w:val="both"/>
        <w:rPr>
          <w:rFonts w:ascii="Arial Narrow" w:eastAsia="Times New Roman" w:hAnsi="Arial Narrow" w:cs="Courier New"/>
          <w:lang w:val="es-ES_tradnl" w:eastAsia="es-ES"/>
        </w:rPr>
      </w:pPr>
      <w:r w:rsidRPr="00055A66">
        <w:rPr>
          <w:rFonts w:ascii="Arial Narrow" w:eastAsia="Times New Roman" w:hAnsi="Arial Narrow" w:cs="Courier New"/>
          <w:b/>
          <w:lang w:val="es-ES_tradnl" w:eastAsia="es-ES"/>
        </w:rPr>
        <w:t>Artículo 42.-</w:t>
      </w:r>
      <w:r w:rsidRPr="00055A66">
        <w:rPr>
          <w:rFonts w:ascii="Arial Narrow" w:eastAsia="Times New Roman" w:hAnsi="Arial Narrow" w:cs="Courier New"/>
          <w:lang w:val="es-ES_tradnl" w:eastAsia="es-ES"/>
        </w:rPr>
        <w:t xml:space="preserve"> Sin perjuicio de lo señalado en el artículo anterior, las dependencias y entidades, bajo su responsabilidad, podrán contratar obras públicas sin sujetarse al procedimiento de licitación pública, a través </w:t>
      </w:r>
      <w:r w:rsidRPr="0060626A">
        <w:rPr>
          <w:rFonts w:ascii="Arial Narrow" w:eastAsia="Times New Roman" w:hAnsi="Arial Narrow" w:cs="Courier New"/>
          <w:b/>
          <w:i/>
          <w:u w:val="single"/>
          <w:lang w:val="es-ES_tradnl" w:eastAsia="es-ES"/>
        </w:rPr>
        <w:t>de invitación a cuando menos tres personas</w:t>
      </w:r>
      <w:r w:rsidRPr="00055A66">
        <w:rPr>
          <w:rFonts w:ascii="Arial Narrow" w:eastAsia="Times New Roman" w:hAnsi="Arial Narrow" w:cs="Courier New"/>
          <w:lang w:val="es-ES_tradnl" w:eastAsia="es-ES"/>
        </w:rPr>
        <w:t xml:space="preserve">, cuando el importe de cada contrato sea de más de 13,300 y hasta un máximo de 53,550 días de salario mínimo general vigente en la capital del estado, o bien de adjudicación directa con cuando menos tres cotizaciones, cuando el monto del contrato no exceda de 13,300 días de salario mínimo general, vigente en la capital del estado al momento de iniciar el procedimiento de contratación. Tratándose de servicios relacionados con las obras, podrán contratar sin sujetarse al procedimiento de licitación pública, a través </w:t>
      </w:r>
      <w:r w:rsidRPr="0060626A">
        <w:rPr>
          <w:rFonts w:ascii="Arial Narrow" w:eastAsia="Times New Roman" w:hAnsi="Arial Narrow" w:cs="Courier New"/>
          <w:b/>
          <w:i/>
          <w:u w:val="single"/>
          <w:lang w:val="es-ES_tradnl" w:eastAsia="es-ES"/>
        </w:rPr>
        <w:t xml:space="preserve">de invitación a cuando menos tres personas </w:t>
      </w:r>
      <w:r w:rsidRPr="00055A66">
        <w:rPr>
          <w:rFonts w:ascii="Arial Narrow" w:eastAsia="Times New Roman" w:hAnsi="Arial Narrow" w:cs="Courier New"/>
          <w:lang w:val="es-ES_tradnl" w:eastAsia="es-ES"/>
        </w:rPr>
        <w:t xml:space="preserve">cuando el importe de cada contrato sea de más de 4,463 y hasta un máximo de 17,853 días de salario mínimo general vigente al momento de iniciar el procedimiento de contratación, o de adjudicación directa con cuando menos tres cotizaciones si el monto del contrato no exceda de 4,463 días de salario mínimo general vigente en la capital del estado al momento de iniciar el procedimiento de contratación, siempre que los contratos no se fraccionen para quedar comprendidas en los supuestos de excepción a la licitación pública a que se refiere este artículo.  </w:t>
      </w:r>
    </w:p>
    <w:p w:rsidR="00055A66" w:rsidRPr="00055A66" w:rsidRDefault="00055A66" w:rsidP="00055A66">
      <w:pPr>
        <w:spacing w:after="0" w:line="240" w:lineRule="auto"/>
        <w:jc w:val="both"/>
        <w:rPr>
          <w:rFonts w:ascii="Arial Narrow" w:eastAsia="Times New Roman" w:hAnsi="Arial Narrow" w:cs="Arial"/>
          <w:lang w:val="es-ES_tradnl" w:eastAsia="es-ES"/>
        </w:rPr>
      </w:pPr>
    </w:p>
    <w:p w:rsidR="00055A66" w:rsidRPr="00055A66" w:rsidRDefault="00055A66" w:rsidP="00055A66">
      <w:pPr>
        <w:spacing w:after="0" w:line="240" w:lineRule="auto"/>
        <w:jc w:val="both"/>
        <w:rPr>
          <w:rFonts w:ascii="Arial Narrow" w:eastAsia="Times New Roman" w:hAnsi="Arial Narrow" w:cs="Arial"/>
          <w:lang w:eastAsia="es-ES"/>
        </w:rPr>
      </w:pPr>
    </w:p>
    <w:p w:rsidR="00055A66" w:rsidRPr="00055A66" w:rsidRDefault="00055A66" w:rsidP="00055A66">
      <w:pPr>
        <w:spacing w:after="0" w:line="240" w:lineRule="auto"/>
        <w:jc w:val="both"/>
        <w:rPr>
          <w:rFonts w:ascii="Arial Narrow" w:eastAsia="Times New Roman" w:hAnsi="Arial Narrow" w:cs="Arial"/>
          <w:lang w:eastAsia="es-ES"/>
        </w:rPr>
      </w:pPr>
      <w:r w:rsidRPr="00055A66">
        <w:rPr>
          <w:rFonts w:ascii="Arial Narrow" w:eastAsia="Times New Roman" w:hAnsi="Arial Narrow" w:cs="Arial"/>
          <w:b/>
          <w:lang w:eastAsia="es-ES"/>
        </w:rPr>
        <w:t>Artículo 43.-</w:t>
      </w:r>
      <w:r w:rsidRPr="00055A66">
        <w:rPr>
          <w:rFonts w:ascii="Arial Narrow" w:eastAsia="Times New Roman" w:hAnsi="Arial Narrow" w:cs="Arial"/>
          <w:lang w:eastAsia="es-ES"/>
        </w:rPr>
        <w:t xml:space="preserve"> </w:t>
      </w:r>
      <w:r w:rsidRPr="0060626A">
        <w:rPr>
          <w:rFonts w:ascii="Arial Narrow" w:eastAsia="Times New Roman" w:hAnsi="Arial Narrow" w:cs="Arial"/>
          <w:b/>
          <w:i/>
          <w:u w:val="single"/>
          <w:lang w:eastAsia="es-ES"/>
        </w:rPr>
        <w:t>El procedimiento de invitación a cuando menos tres personas se sujetará a lo siguiente</w:t>
      </w:r>
      <w:r w:rsidRPr="00055A66">
        <w:rPr>
          <w:rFonts w:ascii="Arial Narrow" w:eastAsia="Times New Roman" w:hAnsi="Arial Narrow" w:cs="Arial"/>
          <w:lang w:eastAsia="es-ES"/>
        </w:rPr>
        <w:t xml:space="preserve">: </w:t>
      </w:r>
    </w:p>
    <w:p w:rsidR="00055A66" w:rsidRPr="00055A66" w:rsidRDefault="00055A66" w:rsidP="00055A66">
      <w:pPr>
        <w:spacing w:after="0" w:line="240" w:lineRule="auto"/>
        <w:jc w:val="both"/>
        <w:rPr>
          <w:rFonts w:ascii="Arial Narrow" w:eastAsia="Times New Roman" w:hAnsi="Arial Narrow" w:cs="Arial"/>
          <w:lang w:val="es-ES_tradnl" w:eastAsia="es-ES"/>
        </w:rPr>
      </w:pPr>
    </w:p>
    <w:p w:rsidR="00055A66" w:rsidRPr="00055A66" w:rsidRDefault="00055A66" w:rsidP="00055A66">
      <w:pPr>
        <w:spacing w:after="0" w:line="240" w:lineRule="auto"/>
        <w:ind w:left="397" w:hanging="397"/>
        <w:jc w:val="both"/>
        <w:rPr>
          <w:rFonts w:ascii="Arial Narrow" w:eastAsia="Times New Roman" w:hAnsi="Arial Narrow" w:cs="Arial"/>
          <w:lang w:eastAsia="es-ES"/>
        </w:rPr>
      </w:pPr>
      <w:r w:rsidRPr="00055A66">
        <w:rPr>
          <w:rFonts w:ascii="Arial Narrow" w:eastAsia="Times New Roman" w:hAnsi="Arial Narrow" w:cs="Arial"/>
          <w:b/>
          <w:lang w:eastAsia="es-ES"/>
        </w:rPr>
        <w:t>I.</w:t>
      </w:r>
      <w:r w:rsidRPr="00055A66">
        <w:rPr>
          <w:rFonts w:ascii="Arial Narrow" w:eastAsia="Times New Roman" w:hAnsi="Arial Narrow" w:cs="Arial"/>
          <w:lang w:eastAsia="es-ES"/>
        </w:rPr>
        <w:tab/>
      </w:r>
      <w:r w:rsidRPr="0060626A">
        <w:rPr>
          <w:rFonts w:ascii="Arial Narrow" w:eastAsia="Times New Roman" w:hAnsi="Arial Narrow" w:cs="Arial"/>
          <w:b/>
          <w:i/>
          <w:u w:val="single"/>
          <w:lang w:eastAsia="es-ES"/>
        </w:rPr>
        <w:t>Solo se invitara a contratistas que cuenten con su registro en el padrón de contratistas vigente a la fecha de invitación.</w:t>
      </w:r>
      <w:r w:rsidRPr="00055A66">
        <w:rPr>
          <w:rFonts w:ascii="Arial Narrow" w:eastAsia="Times New Roman" w:hAnsi="Arial Narrow" w:cs="Arial"/>
          <w:lang w:eastAsia="es-ES"/>
        </w:rPr>
        <w:t xml:space="preserve"> Se invitara a contratistas locales y solo cuando no se cuente dentro del estado con contratistas especializados en la obra o servicio a ejecutar se podrá invitar a contratistas de otras entidades; </w:t>
      </w:r>
    </w:p>
    <w:p w:rsidR="00055A66" w:rsidRPr="00055A66" w:rsidRDefault="00055A66" w:rsidP="00055A66">
      <w:pPr>
        <w:spacing w:after="0" w:line="240" w:lineRule="auto"/>
        <w:ind w:left="397" w:hanging="397"/>
        <w:jc w:val="both"/>
        <w:rPr>
          <w:rFonts w:ascii="Arial Narrow" w:eastAsia="Times New Roman" w:hAnsi="Arial Narrow" w:cs="Arial"/>
          <w:lang w:eastAsia="es-ES"/>
        </w:rPr>
      </w:pPr>
    </w:p>
    <w:p w:rsidR="00055A66" w:rsidRPr="0060626A" w:rsidRDefault="00055A66" w:rsidP="00055A66">
      <w:pPr>
        <w:spacing w:after="0" w:line="240" w:lineRule="auto"/>
        <w:ind w:left="397" w:hanging="397"/>
        <w:jc w:val="both"/>
        <w:rPr>
          <w:rFonts w:ascii="Arial Narrow" w:eastAsia="Times New Roman" w:hAnsi="Arial Narrow" w:cs="Arial"/>
          <w:b/>
          <w:i/>
          <w:u w:val="single"/>
          <w:lang w:eastAsia="es-ES"/>
        </w:rPr>
      </w:pPr>
      <w:r w:rsidRPr="00055A66">
        <w:rPr>
          <w:rFonts w:ascii="Arial Narrow" w:eastAsia="Times New Roman" w:hAnsi="Arial Narrow" w:cs="Arial"/>
          <w:b/>
          <w:lang w:eastAsia="es-ES"/>
        </w:rPr>
        <w:t>II.</w:t>
      </w:r>
      <w:r w:rsidRPr="00055A66">
        <w:rPr>
          <w:rFonts w:ascii="Arial Narrow" w:eastAsia="Times New Roman" w:hAnsi="Arial Narrow" w:cs="Arial"/>
          <w:lang w:eastAsia="es-ES"/>
        </w:rPr>
        <w:tab/>
        <w:t xml:space="preserve">El acto presentación y apertura de proposiciones podrá hacerse sin la presencia de los correspondientes licitantes, </w:t>
      </w:r>
      <w:r w:rsidRPr="0060626A">
        <w:rPr>
          <w:rFonts w:ascii="Arial Narrow" w:eastAsia="Times New Roman" w:hAnsi="Arial Narrow" w:cs="Arial"/>
          <w:b/>
          <w:i/>
          <w:u w:val="single"/>
          <w:lang w:eastAsia="es-ES"/>
        </w:rPr>
        <w:t xml:space="preserve">pero invariablemente se invitará a un representante del Órgano de Control; </w:t>
      </w:r>
    </w:p>
    <w:p w:rsidR="00055A66" w:rsidRPr="00055A66" w:rsidRDefault="00055A66" w:rsidP="00055A66">
      <w:pPr>
        <w:spacing w:after="0" w:line="240" w:lineRule="auto"/>
        <w:ind w:left="397" w:hanging="397"/>
        <w:jc w:val="both"/>
        <w:rPr>
          <w:rFonts w:ascii="Arial Narrow" w:eastAsia="Times New Roman" w:hAnsi="Arial Narrow" w:cs="Arial"/>
          <w:lang w:eastAsia="es-ES"/>
        </w:rPr>
      </w:pPr>
      <w:bookmarkStart w:id="0" w:name="_GoBack"/>
      <w:bookmarkEnd w:id="0"/>
    </w:p>
    <w:sectPr w:rsidR="00055A66" w:rsidRPr="00055A6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A94998"/>
    <w:multiLevelType w:val="hybridMultilevel"/>
    <w:tmpl w:val="46661D14"/>
    <w:lvl w:ilvl="0" w:tplc="EBA479DA">
      <w:start w:val="1"/>
      <w:numFmt w:val="upperRoman"/>
      <w:lvlText w:val="%1."/>
      <w:lvlJc w:val="left"/>
      <w:pPr>
        <w:ind w:left="1080" w:hanging="720"/>
      </w:pPr>
      <w:rPr>
        <w:rFonts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8A7"/>
    <w:rsid w:val="00055A66"/>
    <w:rsid w:val="000924A4"/>
    <w:rsid w:val="00120CCB"/>
    <w:rsid w:val="00234A48"/>
    <w:rsid w:val="002959E3"/>
    <w:rsid w:val="002F47FF"/>
    <w:rsid w:val="003379E0"/>
    <w:rsid w:val="003963F3"/>
    <w:rsid w:val="003C591D"/>
    <w:rsid w:val="00583FA9"/>
    <w:rsid w:val="005E116E"/>
    <w:rsid w:val="0060302B"/>
    <w:rsid w:val="0060626A"/>
    <w:rsid w:val="0061044C"/>
    <w:rsid w:val="007968A7"/>
    <w:rsid w:val="007E120A"/>
    <w:rsid w:val="0080235D"/>
    <w:rsid w:val="008448F2"/>
    <w:rsid w:val="008E5AA6"/>
    <w:rsid w:val="00A9293C"/>
    <w:rsid w:val="00B62970"/>
    <w:rsid w:val="00B6483C"/>
    <w:rsid w:val="00B9341E"/>
    <w:rsid w:val="00C6390B"/>
    <w:rsid w:val="00CA5F9D"/>
    <w:rsid w:val="00EE7463"/>
    <w:rsid w:val="00F422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924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924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380</Words>
  <Characters>2093</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5</cp:revision>
  <dcterms:created xsi:type="dcterms:W3CDTF">2013-04-10T15:34:00Z</dcterms:created>
  <dcterms:modified xsi:type="dcterms:W3CDTF">2013-04-16T13:50:00Z</dcterms:modified>
</cp:coreProperties>
</file>